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94" w:rsidRDefault="00711C94" w:rsidP="00711C94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n-AU"/>
        </w:rPr>
        <w:drawing>
          <wp:inline distT="0" distB="0" distL="0" distR="0">
            <wp:extent cx="1901825" cy="760730"/>
            <wp:effectExtent l="19050" t="0" r="3175" b="0"/>
            <wp:docPr id="32" name="Picture 8" descr="[Norton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Norton Logo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94" w:rsidRDefault="00711C94" w:rsidP="00711C94">
      <w:pPr>
        <w:pStyle w:val="Heading1"/>
        <w:jc w:val="center"/>
        <w:rPr>
          <w:sz w:val="48"/>
          <w:szCs w:val="48"/>
        </w:rPr>
      </w:pPr>
      <w:r>
        <w:t>Engine and Frame Serial Numbers</w:t>
      </w:r>
    </w:p>
    <w:p w:rsidR="00711C94" w:rsidRDefault="00711C94" w:rsidP="00711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5" style="width:0;height:2.25pt" o:hralign="center" o:hrstd="t" o:hrnoshade="t" o:hr="t" fillcolor="red" stroked="f"/>
        </w:pic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document currently will help you identify from 1923 to 1975 Norton Models. Pre-war Models were </w:t>
      </w:r>
      <w:proofErr w:type="spellStart"/>
      <w:r>
        <w:rPr>
          <w:color w:val="000000"/>
          <w:sz w:val="27"/>
          <w:szCs w:val="27"/>
        </w:rPr>
        <w:t>manufacted</w:t>
      </w:r>
      <w:proofErr w:type="spellEnd"/>
      <w:r>
        <w:rPr>
          <w:color w:val="000000"/>
          <w:sz w:val="27"/>
          <w:szCs w:val="27"/>
        </w:rPr>
        <w:t xml:space="preserve"> from 1923 to 1939. Pre-war Models are identified by their Engine Serial numbers. These numbers can be found in Table 4.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Post-war models are denoted from year 1945 on. Post-war Serial Numbers consist of three parts. First a Model Number (Table 2), second a letter code (Table 3), and last a unique number (Table 1). Serial Numbers are found on the Frame and Engine.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Serial Numbers on the Frame and Engine from 1945 to 1974 should match. The serial numbers from 1960 to 1945 should include a year letter code.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FF"/>
          <w:sz w:val="36"/>
          <w:szCs w:val="36"/>
        </w:rPr>
        <w:t>Engine Numbers: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Engine Numbers are found on the front of the crankcase or on the left-hand crankcase just below the cylinder. The engine number may include the engine dimensions, especially on the singles with the 79X100 mm bore and stroke.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FF"/>
          <w:sz w:val="36"/>
          <w:szCs w:val="36"/>
        </w:rPr>
        <w:t>Frame Numbers: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Feather Bed Frames: </w:t>
      </w:r>
      <w:r>
        <w:rPr>
          <w:color w:val="000000"/>
          <w:sz w:val="27"/>
          <w:szCs w:val="27"/>
        </w:rPr>
        <w:t xml:space="preserve">The serial numbers are located on the primary case side, rear frame </w:t>
      </w:r>
      <w:proofErr w:type="spellStart"/>
      <w:r>
        <w:rPr>
          <w:color w:val="000000"/>
          <w:sz w:val="27"/>
          <w:szCs w:val="27"/>
        </w:rPr>
        <w:t>gasset</w:t>
      </w:r>
      <w:proofErr w:type="spellEnd"/>
      <w:r>
        <w:rPr>
          <w:color w:val="000000"/>
          <w:sz w:val="27"/>
          <w:szCs w:val="27"/>
        </w:rPr>
        <w:t xml:space="preserve"> (below to the rear swing arm bolt). The Model code is written horizontal with the year letter (if one is present) and the unique number is written vertically.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Commando Frames: </w:t>
      </w:r>
      <w:r>
        <w:rPr>
          <w:color w:val="000000"/>
          <w:sz w:val="27"/>
          <w:szCs w:val="27"/>
        </w:rPr>
        <w:t xml:space="preserve">The serial numbers on the Commando Frames are numbered on a plate </w:t>
      </w:r>
      <w:proofErr w:type="spellStart"/>
      <w:r>
        <w:rPr>
          <w:color w:val="000000"/>
          <w:sz w:val="27"/>
          <w:szCs w:val="27"/>
        </w:rPr>
        <w:t>rivited</w:t>
      </w:r>
      <w:proofErr w:type="spellEnd"/>
      <w:r>
        <w:rPr>
          <w:color w:val="000000"/>
          <w:sz w:val="27"/>
          <w:szCs w:val="27"/>
        </w:rPr>
        <w:t xml:space="preserve"> to the headstock.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Small Twins (</w:t>
      </w:r>
      <w:proofErr w:type="spellStart"/>
      <w:r>
        <w:rPr>
          <w:color w:val="FF0000"/>
          <w:sz w:val="27"/>
          <w:szCs w:val="27"/>
        </w:rPr>
        <w:t>ie</w:t>
      </w:r>
      <w:proofErr w:type="spellEnd"/>
      <w:r>
        <w:rPr>
          <w:color w:val="FF0000"/>
          <w:sz w:val="27"/>
          <w:szCs w:val="27"/>
        </w:rPr>
        <w:t xml:space="preserve"> Jubilee)</w:t>
      </w:r>
      <w:proofErr w:type="gramStart"/>
      <w:r>
        <w:rPr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>The</w:t>
      </w:r>
      <w:proofErr w:type="gramEnd"/>
      <w:r>
        <w:rPr>
          <w:color w:val="000000"/>
          <w:sz w:val="27"/>
          <w:szCs w:val="27"/>
        </w:rPr>
        <w:t xml:space="preserve"> frame numbers are stamped on the right-hand frame lug which carried the rear fork up to 1963. From then on, it was on the pillion footrest bracket.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Other Frames:</w:t>
      </w:r>
      <w:r>
        <w:rPr>
          <w:color w:val="000000"/>
          <w:sz w:val="27"/>
          <w:szCs w:val="27"/>
        </w:rPr>
        <w:t> The serial numbers are on the headstock.</w:t>
      </w:r>
    </w:p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When trying to date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engine/frame, the year code letter is the most useful up to 1960. The serial numbers have been known to have some overlap from one model year, or </w:t>
      </w:r>
      <w:proofErr w:type="spellStart"/>
      <w:r>
        <w:rPr>
          <w:color w:val="000000"/>
          <w:sz w:val="27"/>
          <w:szCs w:val="27"/>
        </w:rPr>
        <w:t>calender</w:t>
      </w:r>
      <w:proofErr w:type="spellEnd"/>
      <w:r>
        <w:rPr>
          <w:color w:val="000000"/>
          <w:sz w:val="27"/>
          <w:szCs w:val="27"/>
        </w:rPr>
        <w:t xml:space="preserve"> year, to the next. There are some exceptions to this. </w:t>
      </w:r>
      <w:proofErr w:type="gramStart"/>
      <w:r>
        <w:rPr>
          <w:color w:val="000000"/>
          <w:sz w:val="27"/>
          <w:szCs w:val="27"/>
        </w:rPr>
        <w:t xml:space="preserve">The unique numbers written in Table 1 below </w:t>
      </w:r>
      <w:proofErr w:type="spellStart"/>
      <w:r>
        <w:rPr>
          <w:color w:val="000000"/>
          <w:sz w:val="27"/>
          <w:szCs w:val="27"/>
        </w:rPr>
        <w:t>indicte</w:t>
      </w:r>
      <w:proofErr w:type="spellEnd"/>
      <w:r>
        <w:rPr>
          <w:color w:val="000000"/>
          <w:sz w:val="27"/>
          <w:szCs w:val="27"/>
        </w:rPr>
        <w:t xml:space="preserve"> year end values.</w:t>
      </w:r>
      <w:proofErr w:type="gramEnd"/>
    </w:p>
    <w:p w:rsidR="00711C94" w:rsidRDefault="00711C94" w:rsidP="00711C94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t>Both Frame and Engine Serial Numbers (Table 1)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967"/>
        <w:gridCol w:w="1522"/>
        <w:gridCol w:w="3511"/>
        <w:gridCol w:w="81"/>
      </w:tblGrid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Unique Number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Notes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Determined from table below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Year end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2131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7756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13792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35560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42700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48900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55350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60700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66600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71360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77400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80488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87038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94500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101060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105000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Atlas (code 20)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Feb 1964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108000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Atlas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1964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111377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115871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120323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May 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121307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N15CS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May 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121307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proofErr w:type="spellStart"/>
            <w:r>
              <w:t>Concentrics</w:t>
            </w:r>
            <w:proofErr w:type="spellEnd"/>
            <w:r>
              <w:t xml:space="preserve"> </w:t>
            </w:r>
            <w:proofErr w:type="spellStart"/>
            <w:r>
              <w:t>Carbs</w:t>
            </w:r>
            <w:proofErr w:type="spellEnd"/>
            <w:r>
              <w:t xml:space="preserve"> &amp; coil ignition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May 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121665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P11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Aug 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123364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Jan1968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124372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P11A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1968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128646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P11A Ranger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Nov 1968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129145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Last Ranger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Commando 750cc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Aug 1967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123666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Model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Feb 1968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126125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Production Machine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1969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131180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Fastback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1969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131257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 with Camshaft Points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1969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133668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 xml:space="preserve">Fastback </w:t>
            </w:r>
            <w:proofErr w:type="spellStart"/>
            <w:r>
              <w:t>withcamshaft</w:t>
            </w:r>
            <w:proofErr w:type="spellEnd"/>
            <w:r>
              <w:t xml:space="preserve"> points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1969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134108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 xml:space="preserve">First </w:t>
            </w:r>
            <w:proofErr w:type="spellStart"/>
            <w:r>
              <w:t>wolverhampton</w:t>
            </w:r>
            <w:proofErr w:type="spellEnd"/>
            <w:r>
              <w:t xml:space="preserve"> engines (P-suffix)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1970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135140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Roadster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June 1970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135088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Last 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1970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139571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Fastback MK II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141717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Last Fastback MK II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141783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Fastback MK III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142583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Roadster MK II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145234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Apr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144343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Fastback LR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May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146074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Hi-Rider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Oct 1971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150723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Last SS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Fastback MK IV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Roadster MK IV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proofErr w:type="spellStart"/>
            <w:r>
              <w:t>FastbackLR</w:t>
            </w:r>
            <w:proofErr w:type="spellEnd"/>
            <w:r>
              <w:t xml:space="preserve"> MK IV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Hi-Rider MK IV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Interstate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750cc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200976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Combat Engine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211110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Detuned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212278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Interstate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220000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Roadster MK 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220000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Hi-Rider MK 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Mar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220000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Interstate MK V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Oct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230935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Last 750cc Commando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Commando 850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Apr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300000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First 850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Sept 1973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306591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MK IA 850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Jan 1974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307311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Mk II and IIA 850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Feb 1975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F12001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Frame number MK III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0"/>
                <w:szCs w:val="20"/>
              </w:rPr>
            </w:pPr>
          </w:p>
        </w:tc>
      </w:tr>
    </w:tbl>
    <w:p w:rsidR="00711C94" w:rsidRDefault="00711C94" w:rsidP="00711C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left"/>
      </w:r>
    </w:p>
    <w:p w:rsidR="00711C94" w:rsidRDefault="00711C94" w:rsidP="00711C94">
      <w:pPr>
        <w:pStyle w:val="Heading2"/>
        <w:rPr>
          <w:color w:val="000000"/>
        </w:rPr>
      </w:pPr>
    </w:p>
    <w:p w:rsidR="00711C94" w:rsidRPr="00C9555B" w:rsidRDefault="00711C94" w:rsidP="00711C94"/>
    <w:p w:rsidR="00711C94" w:rsidRDefault="00711C94" w:rsidP="00711C94">
      <w:pPr>
        <w:pStyle w:val="Heading2"/>
        <w:rPr>
          <w:color w:val="000000"/>
        </w:rPr>
      </w:pPr>
    </w:p>
    <w:p w:rsidR="00711C94" w:rsidRDefault="00711C94" w:rsidP="00711C94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t xml:space="preserve">Model Code </w:t>
      </w:r>
      <w:proofErr w:type="spellStart"/>
      <w:r>
        <w:rPr>
          <w:color w:val="000000"/>
        </w:rPr>
        <w:t>Translater</w:t>
      </w:r>
      <w:proofErr w:type="spellEnd"/>
      <w:r>
        <w:rPr>
          <w:color w:val="000000"/>
        </w:rPr>
        <w:t xml:space="preserve"> (Table 2)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2180"/>
        <w:gridCol w:w="1167"/>
        <w:gridCol w:w="2749"/>
      </w:tblGrid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Model Code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Model Code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Model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16H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88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3T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500T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99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ES2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77 &amp; Nomad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Nomad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Big 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Jubilee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16H or Big Four Plunger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All 650 twins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Navigator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International 40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Atlas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10M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Manx 40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20M3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Commando (distributor)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10M2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Manx 40 Featherbed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20M3S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Commando (Camshaft points)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International 30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AMC 50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11M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Manx 30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ES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Electra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11M2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Manx 30 Featherbed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ES2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AMC ES2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Model 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---</w:t>
            </w:r>
          </w:p>
        </w:tc>
      </w:tr>
    </w:tbl>
    <w:p w:rsidR="00711C94" w:rsidRDefault="00711C94" w:rsidP="00711C94">
      <w:pPr>
        <w:pStyle w:val="NormalWeb"/>
        <w:rPr>
          <w:color w:val="000000"/>
          <w:sz w:val="27"/>
          <w:szCs w:val="27"/>
        </w:rPr>
      </w:pPr>
      <w:r>
        <w:rPr>
          <w:color w:val="FF0000"/>
          <w:sz w:val="36"/>
          <w:szCs w:val="36"/>
        </w:rPr>
        <w:t>Notes For Translating Model Letters</w:t>
      </w:r>
      <w:proofErr w:type="gramStart"/>
      <w:r>
        <w:rPr>
          <w:color w:val="FF0000"/>
          <w:sz w:val="36"/>
          <w:szCs w:val="36"/>
        </w:rPr>
        <w:t>:</w:t>
      </w:r>
      <w:proofErr w:type="gramEnd"/>
      <w:r>
        <w:rPr>
          <w:color w:val="000000"/>
          <w:sz w:val="27"/>
          <w:szCs w:val="27"/>
        </w:rPr>
        <w:br/>
        <w:t>Suffix D indicates de luxe twin</w:t>
      </w:r>
      <w:r>
        <w:rPr>
          <w:color w:val="000000"/>
          <w:sz w:val="27"/>
          <w:szCs w:val="27"/>
        </w:rPr>
        <w:br/>
        <w:t>Suffix SS indicates Sports Special Twins</w:t>
      </w:r>
      <w:r>
        <w:rPr>
          <w:color w:val="000000"/>
          <w:sz w:val="27"/>
          <w:szCs w:val="27"/>
        </w:rPr>
        <w:br/>
        <w:t>Suffix Q indicates quieting ramp cams (some 1947 singles)</w:t>
      </w:r>
    </w:p>
    <w:p w:rsidR="00711C94" w:rsidRDefault="00711C94" w:rsidP="00711C94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t>Year Letter Code Table (Table 3)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507"/>
        <w:gridCol w:w="986"/>
        <w:gridCol w:w="522"/>
      </w:tblGrid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 Code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 Code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J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1954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K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1955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1956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1949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1957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1958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1959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1960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1953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711C94" w:rsidRDefault="00711C94" w:rsidP="00711C94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lastRenderedPageBreak/>
        <w:t>Pre-war Models Engine Serial Numbers (Table 4)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188"/>
        <w:gridCol w:w="507"/>
        <w:gridCol w:w="2203"/>
      </w:tblGrid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Approx Engine Number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Approx Engine Number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4200 to 7550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1932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51820 to 54120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7550 to 11900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1933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54120 to 56140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11900 to 27500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1934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56120 to 59500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27500 to 32800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1935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59500 to 62800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32800 to 36900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1936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62800 to 69800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36900 to 41000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1937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69800 to 81500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1929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41000 to 45600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1938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81500 to 87920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45600 to 49250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1939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87920 to 94700</w:t>
            </w:r>
          </w:p>
        </w:tc>
      </w:tr>
      <w:tr w:rsidR="00711C94" w:rsidTr="000D6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1931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49250 to 51820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711C94" w:rsidRDefault="00711C94" w:rsidP="000D6880">
            <w:pPr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711C94" w:rsidRDefault="00711C94" w:rsidP="00711C9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 xml:space="preserve">350cc machines from 1929 to 1939 had </w:t>
      </w:r>
      <w:proofErr w:type="spellStart"/>
      <w:r>
        <w:rPr>
          <w:color w:val="FF0000"/>
          <w:sz w:val="27"/>
          <w:szCs w:val="27"/>
        </w:rPr>
        <w:t>seperate</w:t>
      </w:r>
      <w:proofErr w:type="spellEnd"/>
      <w:r>
        <w:rPr>
          <w:color w:val="FF0000"/>
          <w:sz w:val="27"/>
          <w:szCs w:val="27"/>
        </w:rPr>
        <w:t xml:space="preserve"> range of numbers. From 1929 to 1936 these ranged from 1000 to 6200. From 1937 to 1939 they ranged from 6201 to 10700.</w:t>
      </w:r>
      <w:r>
        <w:rPr>
          <w:color w:val="000000"/>
          <w:sz w:val="27"/>
          <w:szCs w:val="27"/>
        </w:rPr>
        <w:br w:type="textWrapping" w:clear="left"/>
      </w:r>
    </w:p>
    <w:p w:rsidR="00711C94" w:rsidRDefault="00711C94" w:rsidP="00711C94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t>Return to </w:t>
      </w:r>
      <w:hyperlink r:id="rId5" w:history="1">
        <w:r>
          <w:rPr>
            <w:rStyle w:val="Hyperlink"/>
          </w:rPr>
          <w:t>BBC Home Page</w:t>
        </w:r>
      </w:hyperlink>
    </w:p>
    <w:p w:rsidR="00711C94" w:rsidRDefault="00711C94" w:rsidP="00711C94">
      <w:r>
        <w:pict>
          <v:rect id="_x0000_i1026" style="width:0;height:2.25pt" o:hralign="center" o:hrstd="t" o:hrnoshade="t" o:hr="t" fillcolor="black" stroked="f"/>
        </w:pict>
      </w:r>
    </w:p>
    <w:p w:rsidR="00711C94" w:rsidRDefault="00711C94" w:rsidP="00711C94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6" o:title=""/>
          </v:shape>
          <w:control r:id="rId7" w:name="Object 3" w:shapeid="_x0000_i1027"/>
        </w:object>
      </w:r>
    </w:p>
    <w:p w:rsidR="00711C94" w:rsidRPr="001D30C0" w:rsidRDefault="00711C94" w:rsidP="00711C94">
      <w:pPr>
        <w:rPr>
          <w:szCs w:val="24"/>
        </w:rPr>
      </w:pPr>
      <w:r>
        <w:rPr>
          <w:szCs w:val="24"/>
        </w:rPr>
        <w:t xml:space="preserve"> </w:t>
      </w:r>
      <w:r w:rsidRPr="001D30C0">
        <w:rPr>
          <w:szCs w:val="24"/>
        </w:rPr>
        <w:t xml:space="preserve"> </w:t>
      </w:r>
    </w:p>
    <w:p w:rsidR="0078015D" w:rsidRDefault="00711C94">
      <w:r>
        <w:t xml:space="preserve"> </w:t>
      </w:r>
    </w:p>
    <w:sectPr w:rsidR="0078015D" w:rsidSect="00711C9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4A" w:rsidRPr="00607F4A" w:rsidRDefault="00711C94" w:rsidP="00607F4A">
    <w:pPr>
      <w:pStyle w:val="Header"/>
      <w:spacing w:before="100" w:after="1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C94"/>
    <w:rsid w:val="00192374"/>
    <w:rsid w:val="00275220"/>
    <w:rsid w:val="00366566"/>
    <w:rsid w:val="004E6843"/>
    <w:rsid w:val="0064595D"/>
    <w:rsid w:val="006D7105"/>
    <w:rsid w:val="00700D7C"/>
    <w:rsid w:val="00711C94"/>
    <w:rsid w:val="00720170"/>
    <w:rsid w:val="007507F5"/>
    <w:rsid w:val="0078015D"/>
    <w:rsid w:val="007967C1"/>
    <w:rsid w:val="007F1E4B"/>
    <w:rsid w:val="008745D3"/>
    <w:rsid w:val="008C2114"/>
    <w:rsid w:val="00AA7C3A"/>
    <w:rsid w:val="00AB06FD"/>
    <w:rsid w:val="00AB4FEC"/>
    <w:rsid w:val="00E5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94"/>
    <w:pPr>
      <w:spacing w:before="100" w:beforeAutospacing="1" w:after="100" w:afterAutospacing="1" w:line="240" w:lineRule="atLeast"/>
      <w:jc w:val="center"/>
    </w:pPr>
  </w:style>
  <w:style w:type="paragraph" w:styleId="Heading1">
    <w:name w:val="heading 1"/>
    <w:basedOn w:val="Normal"/>
    <w:link w:val="Heading1Char"/>
    <w:uiPriority w:val="9"/>
    <w:qFormat/>
    <w:rsid w:val="00711C94"/>
    <w:pPr>
      <w:spacing w:before="0" w:beforeAutospacing="0" w:after="150" w:afterAutospacing="0" w:line="510" w:lineRule="atLeast"/>
      <w:jc w:val="left"/>
      <w:outlineLvl w:val="0"/>
    </w:pPr>
    <w:rPr>
      <w:rFonts w:ascii="Times New Roman" w:hAnsi="Times New Roman" w:cs="Times New Roman"/>
      <w:color w:val="000000"/>
      <w:kern w:val="36"/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C94"/>
    <w:rPr>
      <w:rFonts w:ascii="Times New Roman" w:hAnsi="Times New Roman" w:cs="Times New Roman"/>
      <w:color w:val="000000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1C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C9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11C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94"/>
  </w:style>
  <w:style w:type="paragraph" w:styleId="BalloonText">
    <w:name w:val="Balloon Text"/>
    <w:basedOn w:val="Normal"/>
    <w:link w:val="BalloonTextChar"/>
    <w:uiPriority w:val="99"/>
    <w:semiHidden/>
    <w:unhideWhenUsed/>
    <w:rsid w:val="00711C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classicenglishbikes.com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4454</Characters>
  <Application>Microsoft Office Word</Application>
  <DocSecurity>0</DocSecurity>
  <Lines>37</Lines>
  <Paragraphs>10</Paragraphs>
  <ScaleCrop>false</ScaleCrop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2021-08-19T21:38:00Z</dcterms:created>
  <dcterms:modified xsi:type="dcterms:W3CDTF">2021-08-19T21:39:00Z</dcterms:modified>
</cp:coreProperties>
</file>